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Arial" w:hAnsi="Arial" w:eastAsia="Arial" w:cs="Arial"/>
          <w:b/>
          <w:b/>
          <w:sz w:val="34"/>
          <w:szCs w:val="34"/>
          <w:u w:val="single"/>
        </w:rPr>
      </w:pPr>
      <w:r>
        <w:rPr>
          <w:rFonts w:eastAsia="Arial" w:cs="Arial" w:ascii="Arial" w:hAnsi="Arial"/>
          <w:b/>
          <w:sz w:val="34"/>
          <w:szCs w:val="34"/>
          <w:u w:val="single"/>
        </w:rPr>
        <w:t>NOTA TECNICA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34"/>
          <w:szCs w:val="34"/>
        </w:rPr>
      </w:pPr>
      <w:r>
        <w:rPr>
          <w:rFonts w:eastAsia="Arial" w:cs="Arial" w:ascii="Arial" w:hAnsi="Arial"/>
          <w:b/>
          <w:sz w:val="34"/>
          <w:szCs w:val="34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sz w:val="36"/>
          <w:szCs w:val="36"/>
        </w:rPr>
      </w:pPr>
      <w:r>
        <w:rPr>
          <w:rFonts w:eastAsia="Arial" w:cs="Arial" w:ascii="Arial" w:hAnsi="Arial"/>
          <w:b/>
          <w:sz w:val="36"/>
          <w:szCs w:val="36"/>
        </w:rPr>
        <w:t xml:space="preserve">Luci d’Artista 2023 a Salerno: 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36"/>
          <w:szCs w:val="36"/>
        </w:rPr>
      </w:pPr>
      <w:r>
        <w:rPr>
          <w:rFonts w:eastAsia="Arial" w:cs="Arial" w:ascii="Arial" w:hAnsi="Arial"/>
          <w:b/>
          <w:sz w:val="36"/>
          <w:szCs w:val="36"/>
        </w:rPr>
        <w:t xml:space="preserve">Iren ha provveduto alla realizzazione e al posizionamento delle installazioni luminose 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i/>
          <w:i/>
          <w:sz w:val="28"/>
          <w:szCs w:val="28"/>
        </w:rPr>
      </w:pPr>
      <w:r>
        <w:rPr>
          <w:rFonts w:eastAsia="Arial" w:cs="Arial" w:ascii="Arial" w:hAnsi="Arial"/>
          <w:b/>
          <w:i/>
          <w:sz w:val="28"/>
          <w:szCs w:val="28"/>
        </w:rPr>
        <w:t>Utilizzati oltre 410 km di cavi conduttori e 7.300.000 LED</w:t>
      </w:r>
    </w:p>
    <w:p>
      <w:pPr>
        <w:pStyle w:val="Normal1"/>
        <w:jc w:val="center"/>
        <w:rPr>
          <w:rFonts w:ascii="Arial" w:hAnsi="Arial" w:eastAsia="Arial" w:cs="Arial"/>
          <w:b/>
          <w:b/>
          <w:i/>
          <w:i/>
          <w:sz w:val="28"/>
          <w:szCs w:val="28"/>
        </w:rPr>
      </w:pPr>
      <w:r>
        <w:rPr>
          <w:rFonts w:eastAsia="Arial" w:cs="Arial" w:ascii="Arial" w:hAnsi="Arial"/>
          <w:b/>
          <w:i/>
          <w:sz w:val="28"/>
          <w:szCs w:val="28"/>
        </w:rPr>
        <w:t xml:space="preserve">per garantire maggiore luminosità, minore impatto energetico </w:t>
      </w:r>
    </w:p>
    <w:p>
      <w:pPr>
        <w:pStyle w:val="Normal1"/>
        <w:jc w:val="center"/>
        <w:rPr>
          <w:rFonts w:ascii="Arial" w:hAnsi="Arial" w:eastAsia="Arial" w:cs="Arial"/>
          <w:b/>
          <w:b/>
          <w:i/>
          <w:i/>
          <w:sz w:val="34"/>
          <w:szCs w:val="34"/>
        </w:rPr>
      </w:pPr>
      <w:r>
        <w:rPr>
          <w:rFonts w:eastAsia="Arial" w:cs="Arial" w:ascii="Arial" w:hAnsi="Arial"/>
          <w:b/>
          <w:i/>
          <w:sz w:val="28"/>
          <w:szCs w:val="28"/>
        </w:rPr>
        <w:t>e significativo contenimento dei consumi.</w:t>
      </w:r>
    </w:p>
    <w:p>
      <w:pPr>
        <w:pStyle w:val="Normal1"/>
        <w:rPr>
          <w:rFonts w:ascii="Arial" w:hAnsi="Arial" w:eastAsia="Arial" w:cs="Arial"/>
          <w:b/>
          <w:b/>
          <w:sz w:val="34"/>
          <w:szCs w:val="34"/>
        </w:rPr>
      </w:pPr>
      <w:r>
        <w:rPr>
          <w:rFonts w:eastAsia="Arial" w:cs="Arial" w:ascii="Arial" w:hAnsi="Arial"/>
          <w:b/>
          <w:sz w:val="34"/>
          <w:szCs w:val="34"/>
        </w:rPr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b w:val="false"/>
          <w:i/>
          <w:sz w:val="26"/>
          <w:szCs w:val="26"/>
        </w:rPr>
        <w:t xml:space="preserve">Salerno, 24 novembre 2023 </w:t>
      </w:r>
      <w:r>
        <w:rPr>
          <w:rFonts w:eastAsia="Arial" w:cs="Arial" w:ascii="Arial" w:hAnsi="Arial"/>
          <w:b w:val="false"/>
          <w:sz w:val="26"/>
          <w:szCs w:val="26"/>
        </w:rPr>
        <w:t xml:space="preserve">– </w:t>
      </w:r>
      <w:r>
        <w:rPr>
          <w:rFonts w:eastAsia="Arial" w:cs="Arial" w:ascii="Arial" w:hAnsi="Arial"/>
          <w:sz w:val="26"/>
          <w:szCs w:val="26"/>
        </w:rPr>
        <w:t xml:space="preserve">Si accendono oggi le Luci d’Artista a Salerno. 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La prestigiosa manifestazione, arrivata alla 18ª edizione, è un’iniziativa del Comune di Salerno, cofinanziata dalla Regione Campania e realizzata da </w:t>
      </w:r>
      <w:r>
        <w:rPr>
          <w:rFonts w:eastAsia="Arial" w:cs="Arial" w:ascii="Arial" w:hAnsi="Arial"/>
          <w:b/>
          <w:sz w:val="26"/>
          <w:szCs w:val="26"/>
        </w:rPr>
        <w:t>Iren Smart Solutions, la società del Gruppo Iren</w:t>
      </w:r>
      <w:r>
        <w:rPr>
          <w:rFonts w:eastAsia="Arial" w:cs="Arial" w:ascii="Arial" w:hAnsi="Arial"/>
          <w:sz w:val="26"/>
          <w:szCs w:val="26"/>
        </w:rPr>
        <w:t xml:space="preserve"> dedicata alla riqualificazione energetica degli edifici, all’illuminazione pubblica e semaforica, al global service tecnologico e all’installazione di impianti a fonti rinnovabili.</w:t>
      </w:r>
    </w:p>
    <w:p>
      <w:pPr>
        <w:pStyle w:val="Normal1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Iren possiede una stimata competenza nel campo dell’illuminazione sia pubblica che monumentale</w:t>
      </w:r>
      <w:r>
        <w:rPr>
          <w:rFonts w:eastAsia="Arial" w:cs="Arial" w:ascii="Arial" w:hAnsi="Arial"/>
          <w:sz w:val="26"/>
          <w:szCs w:val="26"/>
        </w:rPr>
        <w:t xml:space="preserve">, nonché nelle manifestazioni illuminotecniche, che l’hanno portata a realizzare installazioni luminose anche in molte città italiane (Torino, Genova, Portici, Pompei, Latina, Pescara…) ed europee, fra cui Bruxelles, Barcellona, Lisbona, Marsiglia, Unna e Lione. 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Nel 2019 una Luce d’Artista di Iren ha anche illuminato le notti della Città de L’Avana in occasione dei festeggiamenti per il 500esimo anniversario della città.</w:t>
      </w:r>
    </w:p>
    <w:p>
      <w:pPr>
        <w:pStyle w:val="Normal1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Luci D’artista di Salerno, che si terrà dal </w:t>
      </w:r>
      <w:r>
        <w:rPr>
          <w:rFonts w:eastAsia="Arial" w:cs="Arial" w:ascii="Arial" w:hAnsi="Arial"/>
          <w:b/>
          <w:sz w:val="26"/>
          <w:szCs w:val="26"/>
        </w:rPr>
        <w:t xml:space="preserve">24 novembre 2023 al 21 gennaio 2024, </w:t>
      </w:r>
      <w:r>
        <w:rPr>
          <w:rFonts w:eastAsia="Arial" w:cs="Arial" w:ascii="Arial" w:hAnsi="Arial"/>
          <w:sz w:val="26"/>
          <w:szCs w:val="26"/>
        </w:rPr>
        <w:t xml:space="preserve">attraverso l’uso della luce negli spazi cittadini favorisce l’incontro tra il vasto pubblico e l’arte illuminotecnica. </w:t>
      </w:r>
      <w:r>
        <w:rPr>
          <w:rFonts w:eastAsia="Arial" w:cs="Arial" w:ascii="Arial" w:hAnsi="Arial"/>
          <w:b/>
          <w:sz w:val="26"/>
          <w:szCs w:val="26"/>
        </w:rPr>
        <w:t>Il tema centrale di questa edizione è la NATURA intesa nella sua accezione più ampia</w:t>
      </w:r>
      <w:r>
        <w:rPr>
          <w:rFonts w:eastAsia="Arial" w:cs="Arial" w:ascii="Arial" w:hAnsi="Arial"/>
          <w:sz w:val="26"/>
          <w:szCs w:val="26"/>
        </w:rPr>
        <w:t>: l’insieme di tutti gli esseri viventi e degli ambienti in cui vivono, con un’attenzione al fondamentale rapporto che li unisce.</w:t>
      </w:r>
    </w:p>
    <w:p>
      <w:pPr>
        <w:pStyle w:val="Normal1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Il Comune di Salerno ha commissionato la progettazione allo studio ONDESIGN di Torino (con la direzione artistica dell’architetto </w:t>
      </w:r>
      <w:r>
        <w:rPr>
          <w:rFonts w:eastAsia="Arial" w:cs="Arial" w:ascii="Arial" w:hAnsi="Arial"/>
          <w:b/>
          <w:sz w:val="26"/>
          <w:szCs w:val="26"/>
        </w:rPr>
        <w:t>Luca Pannoli)</w:t>
      </w:r>
      <w:r>
        <w:rPr>
          <w:rFonts w:eastAsia="Arial" w:cs="Arial" w:ascii="Arial" w:hAnsi="Arial"/>
          <w:sz w:val="26"/>
          <w:szCs w:val="26"/>
        </w:rPr>
        <w:t xml:space="preserve"> </w:t>
      </w:r>
      <w:r>
        <w:rPr>
          <w:rFonts w:eastAsia="Arial" w:cs="Arial" w:ascii="Arial" w:hAnsi="Arial"/>
          <w:b/>
          <w:sz w:val="26"/>
          <w:szCs w:val="26"/>
        </w:rPr>
        <w:t>e la realizzazione, installazione e manutenzione delle opere (comprese quelle già di proprietà del comune) a Iren,</w:t>
      </w:r>
      <w:r>
        <w:rPr>
          <w:rFonts w:eastAsia="Arial" w:cs="Arial" w:ascii="Arial" w:hAnsi="Arial"/>
          <w:sz w:val="26"/>
          <w:szCs w:val="26"/>
        </w:rPr>
        <w:t xml:space="preserve"> risultata affidataria del servizio a seguito di gara pubblica.</w:t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sz w:val="26"/>
          <w:szCs w:val="26"/>
        </w:rPr>
      </w:pPr>
      <w:bookmarkStart w:id="0" w:name="_gjdgxs"/>
      <w:bookmarkEnd w:id="0"/>
      <w:r>
        <w:rPr>
          <w:rFonts w:eastAsia="Arial" w:cs="Arial" w:ascii="Arial" w:hAnsi="Arial"/>
          <w:sz w:val="26"/>
          <w:szCs w:val="26"/>
        </w:rPr>
        <w:t xml:space="preserve">Iren nella realizzazione delle spettacolari istallazioni luminose, ha posto una particolare attenzione alla sostenibilità ambientale, grazie all’utilizzo di sorgenti luminose a LED </w:t>
      </w:r>
      <w:r>
        <w:rPr>
          <w:rFonts w:eastAsia="Arial" w:cs="Arial" w:ascii="Arial" w:hAnsi="Arial"/>
          <w:b/>
          <w:sz w:val="26"/>
          <w:szCs w:val="26"/>
        </w:rPr>
        <w:t>in grado di fornire maggiore luminosità con minore impatto energetico e</w:t>
      </w:r>
      <w:r>
        <w:rPr>
          <w:rFonts w:eastAsia="Arial" w:cs="Arial" w:ascii="Arial" w:hAnsi="Arial"/>
          <w:b w:val="false"/>
          <w:sz w:val="26"/>
          <w:szCs w:val="26"/>
        </w:rPr>
        <w:t xml:space="preserve"> </w:t>
      </w:r>
      <w:r>
        <w:rPr>
          <w:rFonts w:eastAsia="Arial" w:cs="Arial" w:ascii="Arial" w:hAnsi="Arial"/>
          <w:b/>
          <w:sz w:val="26"/>
          <w:szCs w:val="26"/>
        </w:rPr>
        <w:t>significativo contenimento dei consumi.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b w:val="false"/>
          <w:sz w:val="26"/>
          <w:szCs w:val="26"/>
        </w:rPr>
        <w:t>Inoltre</w:t>
      </w:r>
      <w:r>
        <w:rPr>
          <w:rFonts w:eastAsia="Arial" w:cs="Arial" w:ascii="Arial" w:hAnsi="Arial"/>
          <w:b/>
          <w:sz w:val="26"/>
          <w:szCs w:val="26"/>
        </w:rPr>
        <w:t xml:space="preserve">, </w:t>
      </w:r>
      <w:r>
        <w:rPr>
          <w:rFonts w:eastAsia="Arial" w:cs="Arial" w:ascii="Arial" w:hAnsi="Arial"/>
          <w:sz w:val="26"/>
          <w:szCs w:val="26"/>
        </w:rPr>
        <w:t>le installazioni proposte sono arricchite di elementi decorativi colorati tali da renderne la visione gradevole anche nelle ore diurne limitando così al minimo le ore di accensione</w:t>
      </w:r>
      <w:r>
        <w:rPr>
          <w:rFonts w:eastAsia="Arial" w:cs="Arial" w:ascii="Arial" w:hAnsi="Arial"/>
          <w:b/>
          <w:sz w:val="26"/>
          <w:szCs w:val="26"/>
        </w:rPr>
        <w:t xml:space="preserve">. </w:t>
      </w:r>
    </w:p>
    <w:p>
      <w:pPr>
        <w:pStyle w:val="Normal1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jc w:val="both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Saranno ben </w:t>
      </w:r>
      <w:r>
        <w:rPr>
          <w:rFonts w:eastAsia="Arial" w:cs="Arial" w:ascii="Arial" w:hAnsi="Arial"/>
          <w:b/>
          <w:sz w:val="26"/>
          <w:szCs w:val="26"/>
        </w:rPr>
        <w:t>14 le installazioni inedite, montate per la prima volta a Salerno.</w:t>
      </w:r>
    </w:p>
    <w:p>
      <w:pPr>
        <w:pStyle w:val="Normal1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Per la realizzazione e l’installazione di tutte le opere luminose sono stati utilizzati, tra linee elettriche e stringhe di Led, oltre </w:t>
      </w:r>
      <w:r>
        <w:rPr>
          <w:rFonts w:eastAsia="Arial" w:cs="Arial" w:ascii="Arial" w:hAnsi="Arial"/>
          <w:b/>
          <w:sz w:val="26"/>
          <w:szCs w:val="26"/>
        </w:rPr>
        <w:t>410 km di conduttori,</w:t>
      </w:r>
      <w:r>
        <w:rPr>
          <w:rFonts w:eastAsia="Arial" w:cs="Arial" w:ascii="Arial" w:hAnsi="Arial"/>
          <w:sz w:val="26"/>
          <w:szCs w:val="26"/>
        </w:rPr>
        <w:t xml:space="preserve"> </w:t>
      </w:r>
      <w:r>
        <w:rPr>
          <w:rFonts w:eastAsia="Arial" w:cs="Arial" w:ascii="Arial" w:hAnsi="Arial"/>
          <w:b/>
          <w:sz w:val="26"/>
          <w:szCs w:val="26"/>
        </w:rPr>
        <w:t xml:space="preserve">7.100.000 Led, con un totale assorbimento elettrico previsto di oltre 230 kW </w:t>
      </w:r>
      <w:r>
        <w:rPr>
          <w:rFonts w:eastAsia="Arial" w:cs="Arial" w:ascii="Arial" w:hAnsi="Arial"/>
          <w:sz w:val="26"/>
          <w:szCs w:val="26"/>
        </w:rPr>
        <w:t xml:space="preserve">complessivi. </w:t>
      </w:r>
    </w:p>
    <w:p>
      <w:pPr>
        <w:pStyle w:val="Normal1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Elenco istallazioni e area di posizionamento:</w:t>
      </w:r>
    </w:p>
    <w:p>
      <w:pPr>
        <w:pStyle w:val="Normal1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Piazza Sedile Del Campo – </w:t>
      </w:r>
      <w:r>
        <w:rPr>
          <w:rFonts w:eastAsia="Arial" w:cs="Arial" w:ascii="Arial" w:hAnsi="Arial"/>
          <w:b/>
          <w:sz w:val="26"/>
          <w:szCs w:val="26"/>
        </w:rPr>
        <w:t>La Fata delle Farfalle</w:t>
      </w:r>
      <w:r>
        <w:rPr>
          <w:rFonts w:eastAsia="Arial" w:cs="Arial" w:ascii="Arial" w:hAnsi="Arial"/>
          <w:sz w:val="26"/>
          <w:szCs w:val="26"/>
        </w:rPr>
        <w:t xml:space="preserve"> 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Piazza Flavio Gioia – </w:t>
      </w:r>
      <w:r>
        <w:rPr>
          <w:rFonts w:eastAsia="Arial" w:cs="Arial" w:ascii="Arial" w:hAnsi="Arial"/>
          <w:b/>
          <w:sz w:val="26"/>
          <w:szCs w:val="26"/>
        </w:rPr>
        <w:t xml:space="preserve">La Danza delle Meduse 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Corso Vittorio Emanuele - </w:t>
      </w:r>
      <w:r>
        <w:rPr>
          <w:rFonts w:eastAsia="Arial" w:cs="Arial" w:ascii="Arial" w:hAnsi="Arial"/>
          <w:b/>
          <w:sz w:val="26"/>
          <w:szCs w:val="26"/>
        </w:rPr>
        <w:t xml:space="preserve">Mondi 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Piazza Vittorio Veneto – </w:t>
      </w:r>
      <w:r>
        <w:rPr>
          <w:rFonts w:eastAsia="Arial" w:cs="Arial" w:ascii="Arial" w:hAnsi="Arial"/>
          <w:b/>
          <w:sz w:val="26"/>
          <w:szCs w:val="26"/>
        </w:rPr>
        <w:t>Albero Natalizio con Sfere</w:t>
      </w:r>
      <w:r>
        <w:rPr>
          <w:rFonts w:eastAsia="Arial" w:cs="Arial" w:ascii="Arial" w:hAnsi="Arial"/>
          <w:sz w:val="26"/>
          <w:szCs w:val="26"/>
        </w:rPr>
        <w:t xml:space="preserve"> 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Piazza Caduti Da Brescia – </w:t>
      </w:r>
      <w:r>
        <w:rPr>
          <w:rFonts w:eastAsia="Arial" w:cs="Arial" w:ascii="Arial" w:hAnsi="Arial"/>
          <w:b/>
          <w:sz w:val="26"/>
          <w:szCs w:val="26"/>
        </w:rPr>
        <w:t>Paesaggio Polare</w:t>
      </w:r>
      <w:r>
        <w:rPr>
          <w:rFonts w:eastAsia="Arial" w:cs="Arial" w:ascii="Arial" w:hAnsi="Arial"/>
          <w:sz w:val="26"/>
          <w:szCs w:val="26"/>
        </w:rPr>
        <w:t xml:space="preserve"> 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Piazza Gian Camillo Gloriosi - </w:t>
      </w:r>
      <w:r>
        <w:rPr>
          <w:rFonts w:eastAsia="Arial" w:cs="Arial" w:ascii="Arial" w:hAnsi="Arial"/>
          <w:b/>
          <w:sz w:val="26"/>
          <w:szCs w:val="26"/>
        </w:rPr>
        <w:t xml:space="preserve">Locomotiva 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Piazza Monsignor Grasso – </w:t>
      </w:r>
      <w:r>
        <w:rPr>
          <w:rFonts w:eastAsia="Arial" w:cs="Arial" w:ascii="Arial" w:hAnsi="Arial"/>
          <w:b/>
          <w:sz w:val="26"/>
          <w:szCs w:val="26"/>
        </w:rPr>
        <w:t>L’albero delle Stelle</w:t>
      </w:r>
      <w:r>
        <w:rPr>
          <w:rFonts w:eastAsia="Arial" w:cs="Arial" w:ascii="Arial" w:hAnsi="Arial"/>
          <w:sz w:val="26"/>
          <w:szCs w:val="26"/>
        </w:rPr>
        <w:t xml:space="preserve"> 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Arenile Santa Teresa – </w:t>
      </w:r>
      <w:r>
        <w:rPr>
          <w:rFonts w:eastAsia="Arial" w:cs="Arial" w:ascii="Arial" w:hAnsi="Arial"/>
          <w:b/>
          <w:sz w:val="26"/>
          <w:szCs w:val="26"/>
        </w:rPr>
        <w:t>Palme Dorate</w:t>
      </w:r>
      <w:r>
        <w:rPr>
          <w:rFonts w:eastAsia="Arial" w:cs="Arial" w:ascii="Arial" w:hAnsi="Arial"/>
          <w:sz w:val="26"/>
          <w:szCs w:val="26"/>
        </w:rPr>
        <w:t xml:space="preserve"> 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Piazza San Francesco </w:t>
      </w:r>
      <w:r>
        <w:rPr>
          <w:rFonts w:eastAsia="Arial" w:cs="Arial" w:ascii="Arial" w:hAnsi="Arial"/>
          <w:b/>
          <w:sz w:val="26"/>
          <w:szCs w:val="26"/>
        </w:rPr>
        <w:t>– Alberi Magici</w:t>
      </w:r>
      <w:r>
        <w:rPr>
          <w:rFonts w:eastAsia="Arial" w:cs="Arial" w:ascii="Arial" w:hAnsi="Arial"/>
          <w:sz w:val="26"/>
          <w:szCs w:val="26"/>
        </w:rPr>
        <w:t xml:space="preserve"> 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Via Roma - </w:t>
      </w:r>
      <w:r>
        <w:rPr>
          <w:rFonts w:eastAsia="Arial" w:cs="Arial" w:ascii="Arial" w:hAnsi="Arial"/>
          <w:b/>
          <w:sz w:val="26"/>
          <w:szCs w:val="26"/>
        </w:rPr>
        <w:t>Alberi Magici</w:t>
      </w:r>
      <w:r>
        <w:rPr>
          <w:rFonts w:eastAsia="Arial" w:cs="Arial" w:ascii="Arial" w:hAnsi="Arial"/>
          <w:sz w:val="26"/>
          <w:szCs w:val="26"/>
        </w:rPr>
        <w:t xml:space="preserve"> 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Corso Garibaldi – </w:t>
      </w:r>
      <w:r>
        <w:rPr>
          <w:rFonts w:eastAsia="Arial" w:cs="Arial" w:ascii="Arial" w:hAnsi="Arial"/>
          <w:b/>
          <w:sz w:val="26"/>
          <w:szCs w:val="26"/>
        </w:rPr>
        <w:t xml:space="preserve">Alberi Innevati 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Via Casalbore - Via Conforti </w:t>
      </w:r>
      <w:r>
        <w:rPr>
          <w:rFonts w:eastAsia="Arial" w:cs="Arial" w:ascii="Arial" w:hAnsi="Arial"/>
          <w:b/>
          <w:sz w:val="26"/>
          <w:szCs w:val="26"/>
        </w:rPr>
        <w:t>– Giochi d’Acqua</w:t>
      </w:r>
      <w:r>
        <w:rPr>
          <w:rFonts w:eastAsia="Arial" w:cs="Arial" w:ascii="Arial" w:hAnsi="Arial"/>
          <w:sz w:val="26"/>
          <w:szCs w:val="26"/>
        </w:rPr>
        <w:t xml:space="preserve"> 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Via Santa Margherita - Via Amendola – Via Sichelmanno – </w:t>
      </w:r>
      <w:r>
        <w:rPr>
          <w:rFonts w:eastAsia="Arial" w:cs="Arial" w:ascii="Arial" w:hAnsi="Arial"/>
          <w:b/>
          <w:sz w:val="26"/>
          <w:szCs w:val="26"/>
        </w:rPr>
        <w:t>Onde E Vele</w:t>
      </w:r>
      <w:r>
        <w:rPr>
          <w:rFonts w:eastAsia="Arial" w:cs="Arial" w:ascii="Arial" w:hAnsi="Arial"/>
          <w:sz w:val="26"/>
          <w:szCs w:val="26"/>
        </w:rPr>
        <w:t xml:space="preserve"> 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Via Rocco Cocchia – </w:t>
      </w:r>
      <w:r>
        <w:rPr>
          <w:rFonts w:eastAsia="Arial" w:cs="Arial" w:ascii="Arial" w:hAnsi="Arial"/>
          <w:b/>
          <w:sz w:val="26"/>
          <w:szCs w:val="26"/>
        </w:rPr>
        <w:t xml:space="preserve">Fontane Di Luce 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Via Diaz - Via Manzo - Via Quaranta – </w:t>
      </w:r>
      <w:r>
        <w:rPr>
          <w:rFonts w:eastAsia="Arial" w:cs="Arial" w:ascii="Arial" w:hAnsi="Arial"/>
          <w:b/>
          <w:sz w:val="26"/>
          <w:szCs w:val="26"/>
        </w:rPr>
        <w:t xml:space="preserve">Le Parole Dei Bambini </w:t>
      </w:r>
      <w:r>
        <w:rPr>
          <w:rFonts w:eastAsia="Arial" w:cs="Arial" w:ascii="Arial" w:hAnsi="Arial"/>
          <w:sz w:val="26"/>
          <w:szCs w:val="26"/>
        </w:rPr>
        <w:t>(di Roberto Castaldo)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Via Del Carmine E Via Principati </w:t>
      </w:r>
      <w:r>
        <w:rPr>
          <w:rFonts w:eastAsia="Arial" w:cs="Arial" w:ascii="Arial" w:hAnsi="Arial"/>
          <w:b/>
          <w:sz w:val="26"/>
          <w:szCs w:val="26"/>
        </w:rPr>
        <w:t>– Ghirlande e Rami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Area Via Duomo – </w:t>
      </w:r>
      <w:r>
        <w:rPr>
          <w:rFonts w:eastAsia="Arial" w:cs="Arial" w:ascii="Arial" w:hAnsi="Arial"/>
          <w:b/>
          <w:sz w:val="26"/>
          <w:szCs w:val="26"/>
        </w:rPr>
        <w:t>Angeli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Villa Comunale – </w:t>
      </w:r>
      <w:r>
        <w:rPr>
          <w:rFonts w:eastAsia="Arial" w:cs="Arial" w:ascii="Arial" w:hAnsi="Arial"/>
          <w:b/>
          <w:sz w:val="26"/>
          <w:szCs w:val="26"/>
        </w:rPr>
        <w:t>Benvenuti ad Animalandia</w:t>
      </w:r>
      <w:r>
        <w:rPr>
          <w:rFonts w:eastAsia="Arial" w:cs="Arial" w:ascii="Arial" w:hAnsi="Arial"/>
          <w:sz w:val="26"/>
          <w:szCs w:val="26"/>
        </w:rPr>
        <w:t xml:space="preserve"> 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Via Mercanti – </w:t>
      </w:r>
      <w:r>
        <w:rPr>
          <w:rFonts w:eastAsia="Arial" w:cs="Arial" w:ascii="Arial" w:hAnsi="Arial"/>
          <w:b/>
          <w:sz w:val="26"/>
          <w:szCs w:val="26"/>
        </w:rPr>
        <w:t>Percorso Fiorito / Le Quattro Stagioni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Via Volpe, Via Nizza - </w:t>
      </w:r>
      <w:r>
        <w:rPr>
          <w:rFonts w:eastAsia="Arial" w:cs="Arial" w:ascii="Arial" w:hAnsi="Arial"/>
          <w:b/>
          <w:sz w:val="26"/>
          <w:szCs w:val="26"/>
        </w:rPr>
        <w:t xml:space="preserve">Celebrations 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Via Ventimiglia - Via Madonna Di Fatima – </w:t>
      </w:r>
      <w:r>
        <w:rPr>
          <w:rFonts w:eastAsia="Arial" w:cs="Arial" w:ascii="Arial" w:hAnsi="Arial"/>
          <w:b/>
          <w:sz w:val="26"/>
          <w:szCs w:val="26"/>
        </w:rPr>
        <w:t>Fiocchi di Neve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Piazza Sant’agostino </w:t>
      </w:r>
      <w:r>
        <w:rPr>
          <w:rFonts w:eastAsia="Arial" w:cs="Arial" w:ascii="Arial" w:hAnsi="Arial"/>
          <w:b/>
          <w:sz w:val="26"/>
          <w:szCs w:val="26"/>
        </w:rPr>
        <w:t>– Geometrie di Natale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Piazza Portanova - </w:t>
      </w:r>
      <w:r>
        <w:rPr>
          <w:rFonts w:eastAsia="Arial" w:cs="Arial" w:ascii="Arial" w:hAnsi="Arial"/>
          <w:b/>
          <w:sz w:val="26"/>
          <w:szCs w:val="26"/>
        </w:rPr>
        <w:t xml:space="preserve">Albero di Natale </w:t>
      </w:r>
      <w:r>
        <w:rPr>
          <w:rFonts w:eastAsia="Arial" w:cs="Arial" w:ascii="Arial" w:hAnsi="Arial"/>
          <w:b/>
          <w:color w:val="FF0000"/>
          <w:sz w:val="26"/>
          <w:szCs w:val="26"/>
        </w:rPr>
        <w:t>(inaugurazione a dicembre)</w:t>
      </w:r>
      <w:r>
        <w:rPr>
          <w:rFonts w:eastAsia="Arial" w:cs="Arial" w:ascii="Arial" w:hAnsi="Arial"/>
          <w:b/>
          <w:sz w:val="26"/>
          <w:szCs w:val="26"/>
        </w:rPr>
        <w:t xml:space="preserve"> 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Via Trento – Posidonia – Torrione</w:t>
      </w:r>
      <w:r>
        <w:rPr>
          <w:rFonts w:eastAsia="Arial" w:cs="Arial" w:ascii="Arial" w:hAnsi="Arial"/>
          <w:b/>
          <w:sz w:val="26"/>
          <w:szCs w:val="26"/>
        </w:rPr>
        <w:t xml:space="preserve"> – Foglie D’argento - Mosaico 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Via Porto – Ligea – Pertini – Molo Manfredi</w:t>
      </w:r>
      <w:r>
        <w:rPr>
          <w:rFonts w:eastAsia="Arial" w:cs="Arial" w:ascii="Arial" w:hAnsi="Arial"/>
          <w:b/>
          <w:sz w:val="26"/>
          <w:szCs w:val="26"/>
        </w:rPr>
        <w:t xml:space="preserve"> – Fiocchi E Stelle 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Via Del Pezzo – </w:t>
      </w:r>
      <w:r>
        <w:rPr>
          <w:rFonts w:eastAsia="Arial" w:cs="Arial" w:ascii="Arial" w:hAnsi="Arial"/>
          <w:b/>
          <w:sz w:val="26"/>
          <w:szCs w:val="26"/>
        </w:rPr>
        <w:t>Mosaico</w:t>
      </w:r>
      <w:r>
        <w:rPr>
          <w:rFonts w:eastAsia="Arial" w:cs="Arial" w:ascii="Arial" w:hAnsi="Arial"/>
          <w:color w:val="FF0000"/>
          <w:sz w:val="26"/>
          <w:szCs w:val="26"/>
        </w:rPr>
        <w:t xml:space="preserve"> </w:t>
      </w:r>
      <w:r>
        <w:rPr>
          <w:rFonts w:eastAsia="Arial" w:cs="Arial" w:ascii="Arial" w:hAnsi="Arial"/>
          <w:sz w:val="26"/>
          <w:szCs w:val="26"/>
        </w:rPr>
        <w:t xml:space="preserve">(di Enrica Borghi) 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Via Arce – Via Velia – Via Fieravecchia</w:t>
      </w:r>
      <w:r>
        <w:rPr>
          <w:rFonts w:eastAsia="Arial" w:cs="Arial" w:ascii="Arial" w:hAnsi="Arial"/>
          <w:b/>
          <w:sz w:val="26"/>
          <w:szCs w:val="26"/>
        </w:rPr>
        <w:t xml:space="preserve"> – Mosaico </w:t>
      </w:r>
      <w:r>
        <w:rPr>
          <w:rFonts w:eastAsia="Arial" w:cs="Arial" w:ascii="Arial" w:hAnsi="Arial"/>
          <w:sz w:val="26"/>
          <w:szCs w:val="26"/>
        </w:rPr>
        <w:t>(di Enrica Borghi)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Via Settimio Mobilio</w:t>
      </w:r>
      <w:r>
        <w:rPr>
          <w:rFonts w:eastAsia="Arial" w:cs="Arial" w:ascii="Arial" w:hAnsi="Arial"/>
          <w:b/>
          <w:sz w:val="26"/>
          <w:szCs w:val="26"/>
        </w:rPr>
        <w:t xml:space="preserve"> – Il Mito </w:t>
      </w:r>
      <w:r>
        <w:rPr>
          <w:rFonts w:eastAsia="Arial" w:cs="Arial" w:ascii="Arial" w:hAnsi="Arial"/>
          <w:sz w:val="26"/>
          <w:szCs w:val="26"/>
        </w:rPr>
        <w:t>(di Nello Ferrigno)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Via Luigi Guercio –</w:t>
      </w:r>
      <w:r>
        <w:rPr>
          <w:rFonts w:eastAsia="Arial" w:cs="Arial" w:ascii="Arial" w:hAnsi="Arial"/>
          <w:b/>
          <w:sz w:val="26"/>
          <w:szCs w:val="26"/>
        </w:rPr>
        <w:t xml:space="preserve"> Circus </w:t>
      </w:r>
      <w:r>
        <w:rPr>
          <w:rFonts w:eastAsia="Arial" w:cs="Arial" w:ascii="Arial" w:hAnsi="Arial"/>
          <w:sz w:val="26"/>
          <w:szCs w:val="26"/>
        </w:rPr>
        <w:t>(di Luca Pannoli)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Chiesa di Santa Sofia </w:t>
      </w:r>
      <w:r>
        <w:rPr>
          <w:rFonts w:eastAsia="Arial" w:cs="Arial" w:ascii="Arial" w:hAnsi="Arial"/>
          <w:b/>
          <w:sz w:val="26"/>
          <w:szCs w:val="26"/>
        </w:rPr>
        <w:t>– Largo Abate Conforti - Madonna con Bambino</w:t>
      </w:r>
      <w:r>
        <w:rPr>
          <w:rFonts w:eastAsia="Arial" w:cs="Arial" w:ascii="Arial" w:hAnsi="Arial"/>
          <w:sz w:val="26"/>
          <w:szCs w:val="26"/>
        </w:rPr>
        <w:t xml:space="preserve"> (di Eduardo Giannatasio)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Chiesa del Ss. Crocifisso – Piazza Giacomo Matteotti –</w:t>
      </w:r>
      <w:r>
        <w:rPr>
          <w:rFonts w:eastAsia="Arial" w:cs="Arial" w:ascii="Arial" w:hAnsi="Arial"/>
          <w:b/>
          <w:sz w:val="26"/>
          <w:szCs w:val="26"/>
        </w:rPr>
        <w:t xml:space="preserve"> Natività</w:t>
      </w:r>
      <w:r>
        <w:rPr>
          <w:rFonts w:eastAsia="Arial" w:cs="Arial" w:ascii="Arial" w:hAnsi="Arial"/>
          <w:sz w:val="26"/>
          <w:szCs w:val="26"/>
        </w:rPr>
        <w:t xml:space="preserve"> (di Eduardo Giannattasio)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Chiesa Del Sacro Cuore – Piazza Vittorio Veneto -</w:t>
      </w:r>
      <w:r>
        <w:rPr>
          <w:rFonts w:eastAsia="Arial" w:cs="Arial" w:ascii="Arial" w:hAnsi="Arial"/>
          <w:b/>
          <w:sz w:val="26"/>
          <w:szCs w:val="26"/>
        </w:rPr>
        <w:t xml:space="preserve"> L’Annunciazione</w:t>
      </w:r>
      <w:r>
        <w:rPr>
          <w:rFonts w:eastAsia="Arial" w:cs="Arial" w:ascii="Arial" w:hAnsi="Arial"/>
          <w:sz w:val="26"/>
          <w:szCs w:val="26"/>
        </w:rPr>
        <w:t xml:space="preserve"> (di Eduardo Giannattasio)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Piazza Dante Alighieri –</w:t>
      </w:r>
      <w:r>
        <w:rPr>
          <w:rFonts w:eastAsia="Arial" w:cs="Arial" w:ascii="Arial" w:hAnsi="Arial"/>
          <w:b/>
          <w:sz w:val="26"/>
          <w:szCs w:val="26"/>
        </w:rPr>
        <w:t xml:space="preserve"> Moonlight</w:t>
      </w:r>
      <w:r>
        <w:rPr>
          <w:rFonts w:eastAsia="Arial" w:cs="Arial" w:ascii="Arial" w:hAnsi="Arial"/>
          <w:sz w:val="26"/>
          <w:szCs w:val="26"/>
        </w:rPr>
        <w:t xml:space="preserve"> (di Luca Pannoli)</w:t>
      </w:r>
    </w:p>
    <w:p>
      <w:pPr>
        <w:pStyle w:val="Normal1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Piazza Vittorio Veneto: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Pulcinella ed Il Topolino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(di Enzo Caruso)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Don Chisciotte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(di Eduardo Giannattasio)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Metamorphosis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(di Eliana Petrizzi)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Il Tuffatore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(di Sergio Vecchio)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Il Poeta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(di Livio Ceccarelli)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588" w:right="1304" w:gutter="0" w:header="709" w:top="1843" w:footer="0" w:bottom="1702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  <w:tbl>
    <w:tblPr>
      <w:tblStyle w:val="Table2"/>
      <w:tblW w:w="1518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289"/>
      <w:gridCol w:w="2914"/>
      <w:gridCol w:w="1134"/>
      <w:gridCol w:w="5103"/>
      <w:gridCol w:w="2742"/>
    </w:tblGrid>
    <w:tr>
      <w:trPr>
        <w:trHeight w:val="1141" w:hRule="atLeast"/>
      </w:trPr>
      <w:tc>
        <w:tcPr>
          <w:tcW w:w="3289" w:type="dxa"/>
          <w:tcBorders/>
        </w:tcPr>
        <w:p>
          <w:pPr>
            <w:pStyle w:val="Normal1"/>
            <w:widowControl w:val="false"/>
            <w:rPr>
              <w:rFonts w:ascii="Arial" w:hAnsi="Arial" w:eastAsia="Arial" w:cs="Arial"/>
              <w:b/>
              <w:b/>
              <w:sz w:val="17"/>
              <w:szCs w:val="17"/>
            </w:rPr>
          </w:pPr>
          <w:r>
            <w:rPr>
              <w:rFonts w:eastAsia="Arial" w:cs="Arial" w:ascii="Arial" w:hAnsi="Arial"/>
              <w:b/>
              <w:sz w:val="17"/>
              <w:szCs w:val="17"/>
            </w:rPr>
            <w:t>Media Relations</w:t>
          </w:r>
        </w:p>
        <w:p>
          <w:pPr>
            <w:pStyle w:val="Normal1"/>
            <w:widowControl w:val="false"/>
            <w:rPr>
              <w:rFonts w:ascii="Arial" w:hAnsi="Arial" w:eastAsia="Arial" w:cs="Arial"/>
              <w:sz w:val="17"/>
              <w:szCs w:val="17"/>
            </w:rPr>
          </w:pPr>
          <w:r>
            <w:rPr>
              <w:rFonts w:eastAsia="Arial" w:cs="Arial" w:ascii="Arial" w:hAnsi="Arial"/>
              <w:sz w:val="17"/>
              <w:szCs w:val="17"/>
            </w:rPr>
            <w:t>Roberto Bergandi</w:t>
          </w:r>
        </w:p>
        <w:p>
          <w:pPr>
            <w:pStyle w:val="Normal1"/>
            <w:widowControl w:val="false"/>
            <w:rPr>
              <w:rFonts w:ascii="Arial" w:hAnsi="Arial" w:eastAsia="Arial" w:cs="Arial"/>
              <w:sz w:val="17"/>
              <w:szCs w:val="17"/>
            </w:rPr>
          </w:pPr>
          <w:r>
            <w:rPr>
              <w:rFonts w:eastAsia="Arial" w:cs="Arial" w:ascii="Arial" w:hAnsi="Arial"/>
              <w:sz w:val="17"/>
              <w:szCs w:val="17"/>
            </w:rPr>
            <w:t>Tel. + 39 011.5549911</w:t>
          </w:r>
        </w:p>
        <w:p>
          <w:pPr>
            <w:pStyle w:val="Normal1"/>
            <w:widowControl w:val="false"/>
            <w:rPr>
              <w:rFonts w:ascii="Arial" w:hAnsi="Arial" w:eastAsia="Arial" w:cs="Arial"/>
              <w:sz w:val="17"/>
              <w:szCs w:val="17"/>
            </w:rPr>
          </w:pPr>
          <w:r>
            <w:rPr>
              <w:rFonts w:eastAsia="Arial" w:cs="Arial" w:ascii="Arial" w:hAnsi="Arial"/>
              <w:sz w:val="17"/>
              <w:szCs w:val="17"/>
            </w:rPr>
            <w:t xml:space="preserve">Cell. + 39 335.6327398 </w:t>
          </w:r>
        </w:p>
        <w:p>
          <w:pPr>
            <w:pStyle w:val="Normal1"/>
            <w:widowControl w:val="false"/>
            <w:rPr>
              <w:rFonts w:ascii="Arial" w:hAnsi="Arial" w:eastAsia="Arial" w:cs="Arial"/>
              <w:sz w:val="17"/>
              <w:szCs w:val="17"/>
            </w:rPr>
          </w:pPr>
          <w:r>
            <w:rPr>
              <w:rFonts w:eastAsia="Arial" w:cs="Arial" w:ascii="Arial" w:hAnsi="Arial"/>
              <w:sz w:val="17"/>
              <w:szCs w:val="17"/>
            </w:rPr>
            <w:t>roberto.bergandi@gruppoiren.it</w:t>
          </w:r>
        </w:p>
      </w:tc>
      <w:tc>
        <w:tcPr>
          <w:tcW w:w="2914" w:type="dxa"/>
          <w:tcBorders/>
        </w:tcPr>
        <w:p>
          <w:pPr>
            <w:pStyle w:val="Normal1"/>
            <w:widowControl w:val="false"/>
            <w:rPr>
              <w:rFonts w:ascii="Arial" w:hAnsi="Arial" w:eastAsia="Arial" w:cs="Arial"/>
              <w:b/>
              <w:b/>
              <w:sz w:val="17"/>
              <w:szCs w:val="17"/>
            </w:rPr>
          </w:pPr>
          <w:r>
            <w:rPr>
              <w:rFonts w:eastAsia="Arial" w:cs="Arial" w:ascii="Arial" w:hAnsi="Arial"/>
              <w:b/>
              <w:sz w:val="17"/>
              <w:szCs w:val="17"/>
            </w:rPr>
          </w:r>
        </w:p>
        <w:p>
          <w:pPr>
            <w:pStyle w:val="Normal1"/>
            <w:widowControl w:val="false"/>
            <w:rPr>
              <w:rFonts w:ascii="Arial" w:hAnsi="Arial" w:eastAsia="Arial" w:cs="Arial"/>
              <w:b/>
              <w:b/>
              <w:sz w:val="17"/>
              <w:szCs w:val="17"/>
            </w:rPr>
          </w:pPr>
          <w:r>
            <w:rPr>
              <w:rFonts w:eastAsia="Arial" w:cs="Arial" w:ascii="Arial" w:hAnsi="Arial"/>
              <w:b/>
              <w:sz w:val="17"/>
              <w:szCs w:val="17"/>
            </w:rPr>
          </w:r>
        </w:p>
      </w:tc>
      <w:tc>
        <w:tcPr>
          <w:tcW w:w="1134" w:type="dxa"/>
          <w:tcBorders/>
        </w:tcPr>
        <w:p>
          <w:pPr>
            <w:pStyle w:val="Normal1"/>
            <w:widowControl w:val="false"/>
            <w:ind w:right="-30" w:hanging="0"/>
            <w:rPr>
              <w:rFonts w:ascii="Arial" w:hAnsi="Arial" w:eastAsia="Arial" w:cs="Arial"/>
              <w:b/>
              <w:b/>
              <w:sz w:val="17"/>
              <w:szCs w:val="17"/>
            </w:rPr>
          </w:pPr>
          <w:r>
            <w:rPr>
              <w:rFonts w:eastAsia="Arial" w:cs="Arial" w:ascii="Arial" w:hAnsi="Arial"/>
              <w:b/>
              <w:sz w:val="17"/>
              <w:szCs w:val="17"/>
            </w:rPr>
          </w:r>
        </w:p>
      </w:tc>
      <w:tc>
        <w:tcPr>
          <w:tcW w:w="5103" w:type="dxa"/>
          <w:tcBorders/>
        </w:tcPr>
        <w:p>
          <w:pPr>
            <w:pStyle w:val="Normal1"/>
            <w:widowControl w:val="false"/>
            <w:ind w:right="-30" w:hanging="0"/>
            <w:rPr>
              <w:rFonts w:ascii="Arial" w:hAnsi="Arial" w:eastAsia="Arial" w:cs="Arial"/>
              <w:b/>
              <w:b/>
              <w:sz w:val="17"/>
              <w:szCs w:val="17"/>
            </w:rPr>
          </w:pPr>
          <w:r>
            <w:rPr>
              <w:rFonts w:eastAsia="Arial" w:cs="Arial" w:ascii="Arial" w:hAnsi="Arial"/>
              <w:b/>
              <w:sz w:val="17"/>
              <w:szCs w:val="17"/>
            </w:rPr>
          </w:r>
        </w:p>
      </w:tc>
      <w:tc>
        <w:tcPr>
          <w:tcW w:w="2742" w:type="dxa"/>
          <w:tcBorders/>
        </w:tcPr>
        <w:p>
          <w:pPr>
            <w:pStyle w:val="Normal1"/>
            <w:widowControl w:val="false"/>
            <w:ind w:right="-30" w:hanging="0"/>
            <w:rPr>
              <w:rFonts w:ascii="Arial" w:hAnsi="Arial" w:eastAsia="Arial" w:cs="Arial"/>
              <w:b/>
              <w:b/>
              <w:sz w:val="17"/>
              <w:szCs w:val="17"/>
            </w:rPr>
          </w:pPr>
          <w:r>
            <w:rPr>
              <w:rFonts w:eastAsia="Arial" w:cs="Arial" w:ascii="Arial" w:hAnsi="Arial"/>
              <w:b/>
              <w:sz w:val="17"/>
              <w:szCs w:val="17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  <w:tbl>
    <w:tblPr>
      <w:tblStyle w:val="Table2"/>
      <w:tblW w:w="1518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289"/>
      <w:gridCol w:w="2914"/>
      <w:gridCol w:w="1134"/>
      <w:gridCol w:w="5103"/>
      <w:gridCol w:w="2742"/>
    </w:tblGrid>
    <w:tr>
      <w:trPr>
        <w:trHeight w:val="1141" w:hRule="atLeast"/>
      </w:trPr>
      <w:tc>
        <w:tcPr>
          <w:tcW w:w="3289" w:type="dxa"/>
          <w:tcBorders/>
        </w:tcPr>
        <w:p>
          <w:pPr>
            <w:pStyle w:val="Normal1"/>
            <w:widowControl w:val="false"/>
            <w:rPr>
              <w:rFonts w:ascii="Arial" w:hAnsi="Arial" w:eastAsia="Arial" w:cs="Arial"/>
              <w:b/>
              <w:b/>
              <w:sz w:val="17"/>
              <w:szCs w:val="17"/>
            </w:rPr>
          </w:pPr>
          <w:r>
            <w:rPr>
              <w:rFonts w:eastAsia="Arial" w:cs="Arial" w:ascii="Arial" w:hAnsi="Arial"/>
              <w:b/>
              <w:sz w:val="17"/>
              <w:szCs w:val="17"/>
            </w:rPr>
            <w:t>Media Relations</w:t>
          </w:r>
        </w:p>
        <w:p>
          <w:pPr>
            <w:pStyle w:val="Normal1"/>
            <w:widowControl w:val="false"/>
            <w:rPr>
              <w:rFonts w:ascii="Arial" w:hAnsi="Arial" w:eastAsia="Arial" w:cs="Arial"/>
              <w:sz w:val="17"/>
              <w:szCs w:val="17"/>
            </w:rPr>
          </w:pPr>
          <w:r>
            <w:rPr>
              <w:rFonts w:eastAsia="Arial" w:cs="Arial" w:ascii="Arial" w:hAnsi="Arial"/>
              <w:sz w:val="17"/>
              <w:szCs w:val="17"/>
            </w:rPr>
            <w:t>Roberto Bergandi</w:t>
          </w:r>
        </w:p>
        <w:p>
          <w:pPr>
            <w:pStyle w:val="Normal1"/>
            <w:widowControl w:val="false"/>
            <w:rPr>
              <w:rFonts w:ascii="Arial" w:hAnsi="Arial" w:eastAsia="Arial" w:cs="Arial"/>
              <w:sz w:val="17"/>
              <w:szCs w:val="17"/>
            </w:rPr>
          </w:pPr>
          <w:r>
            <w:rPr>
              <w:rFonts w:eastAsia="Arial" w:cs="Arial" w:ascii="Arial" w:hAnsi="Arial"/>
              <w:sz w:val="17"/>
              <w:szCs w:val="17"/>
            </w:rPr>
            <w:t>Tel. + 39 011.5549911</w:t>
          </w:r>
        </w:p>
        <w:p>
          <w:pPr>
            <w:pStyle w:val="Normal1"/>
            <w:widowControl w:val="false"/>
            <w:rPr>
              <w:rFonts w:ascii="Arial" w:hAnsi="Arial" w:eastAsia="Arial" w:cs="Arial"/>
              <w:sz w:val="17"/>
              <w:szCs w:val="17"/>
            </w:rPr>
          </w:pPr>
          <w:r>
            <w:rPr>
              <w:rFonts w:eastAsia="Arial" w:cs="Arial" w:ascii="Arial" w:hAnsi="Arial"/>
              <w:sz w:val="17"/>
              <w:szCs w:val="17"/>
            </w:rPr>
            <w:t xml:space="preserve">Cell. + 39 335.6327398 </w:t>
          </w:r>
        </w:p>
        <w:p>
          <w:pPr>
            <w:pStyle w:val="Normal1"/>
            <w:widowControl w:val="false"/>
            <w:rPr>
              <w:rFonts w:ascii="Arial" w:hAnsi="Arial" w:eastAsia="Arial" w:cs="Arial"/>
              <w:sz w:val="17"/>
              <w:szCs w:val="17"/>
            </w:rPr>
          </w:pPr>
          <w:r>
            <w:rPr>
              <w:rFonts w:eastAsia="Arial" w:cs="Arial" w:ascii="Arial" w:hAnsi="Arial"/>
              <w:sz w:val="17"/>
              <w:szCs w:val="17"/>
            </w:rPr>
            <w:t>roberto.bergandi@gruppoiren.it</w:t>
          </w:r>
        </w:p>
      </w:tc>
      <w:tc>
        <w:tcPr>
          <w:tcW w:w="2914" w:type="dxa"/>
          <w:tcBorders/>
        </w:tcPr>
        <w:p>
          <w:pPr>
            <w:pStyle w:val="Normal1"/>
            <w:widowControl w:val="false"/>
            <w:rPr>
              <w:rFonts w:ascii="Arial" w:hAnsi="Arial" w:eastAsia="Arial" w:cs="Arial"/>
              <w:b/>
              <w:b/>
              <w:sz w:val="17"/>
              <w:szCs w:val="17"/>
            </w:rPr>
          </w:pPr>
          <w:r>
            <w:rPr>
              <w:rFonts w:eastAsia="Arial" w:cs="Arial" w:ascii="Arial" w:hAnsi="Arial"/>
              <w:b/>
              <w:sz w:val="17"/>
              <w:szCs w:val="17"/>
            </w:rPr>
          </w:r>
        </w:p>
        <w:p>
          <w:pPr>
            <w:pStyle w:val="Normal1"/>
            <w:widowControl w:val="false"/>
            <w:rPr>
              <w:rFonts w:ascii="Arial" w:hAnsi="Arial" w:eastAsia="Arial" w:cs="Arial"/>
              <w:b/>
              <w:b/>
              <w:sz w:val="17"/>
              <w:szCs w:val="17"/>
            </w:rPr>
          </w:pPr>
          <w:r>
            <w:rPr>
              <w:rFonts w:eastAsia="Arial" w:cs="Arial" w:ascii="Arial" w:hAnsi="Arial"/>
              <w:b/>
              <w:sz w:val="17"/>
              <w:szCs w:val="17"/>
            </w:rPr>
          </w:r>
        </w:p>
      </w:tc>
      <w:tc>
        <w:tcPr>
          <w:tcW w:w="1134" w:type="dxa"/>
          <w:tcBorders/>
        </w:tcPr>
        <w:p>
          <w:pPr>
            <w:pStyle w:val="Normal1"/>
            <w:widowControl w:val="false"/>
            <w:ind w:right="-30" w:hanging="0"/>
            <w:rPr>
              <w:rFonts w:ascii="Arial" w:hAnsi="Arial" w:eastAsia="Arial" w:cs="Arial"/>
              <w:b/>
              <w:b/>
              <w:sz w:val="17"/>
              <w:szCs w:val="17"/>
            </w:rPr>
          </w:pPr>
          <w:r>
            <w:rPr>
              <w:rFonts w:eastAsia="Arial" w:cs="Arial" w:ascii="Arial" w:hAnsi="Arial"/>
              <w:b/>
              <w:sz w:val="17"/>
              <w:szCs w:val="17"/>
            </w:rPr>
          </w:r>
        </w:p>
      </w:tc>
      <w:tc>
        <w:tcPr>
          <w:tcW w:w="5103" w:type="dxa"/>
          <w:tcBorders/>
        </w:tcPr>
        <w:p>
          <w:pPr>
            <w:pStyle w:val="Normal1"/>
            <w:widowControl w:val="false"/>
            <w:ind w:right="-30" w:hanging="0"/>
            <w:rPr>
              <w:rFonts w:ascii="Arial" w:hAnsi="Arial" w:eastAsia="Arial" w:cs="Arial"/>
              <w:b/>
              <w:b/>
              <w:sz w:val="17"/>
              <w:szCs w:val="17"/>
            </w:rPr>
          </w:pPr>
          <w:r>
            <w:rPr>
              <w:rFonts w:eastAsia="Arial" w:cs="Arial" w:ascii="Arial" w:hAnsi="Arial"/>
              <w:b/>
              <w:sz w:val="17"/>
              <w:szCs w:val="17"/>
            </w:rPr>
          </w:r>
        </w:p>
      </w:tc>
      <w:tc>
        <w:tcPr>
          <w:tcW w:w="2742" w:type="dxa"/>
          <w:tcBorders/>
        </w:tcPr>
        <w:p>
          <w:pPr>
            <w:pStyle w:val="Normal1"/>
            <w:widowControl w:val="false"/>
            <w:ind w:right="-30" w:hanging="0"/>
            <w:rPr>
              <w:rFonts w:ascii="Arial" w:hAnsi="Arial" w:eastAsia="Arial" w:cs="Arial"/>
              <w:b/>
              <w:b/>
              <w:sz w:val="17"/>
              <w:szCs w:val="17"/>
            </w:rPr>
          </w:pPr>
          <w:r>
            <w:rPr>
              <w:rFonts w:eastAsia="Arial" w:cs="Arial" w:ascii="Arial" w:hAnsi="Arial"/>
              <w:b/>
              <w:sz w:val="17"/>
              <w:szCs w:val="17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1"/>
      <w:tblW w:w="923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289"/>
      <w:gridCol w:w="1838"/>
      <w:gridCol w:w="2210"/>
      <w:gridCol w:w="1892"/>
    </w:tblGrid>
    <w:tr>
      <w:trPr>
        <w:trHeight w:val="1141" w:hRule="atLeast"/>
      </w:trPr>
      <w:tc>
        <w:tcPr>
          <w:tcW w:w="3289" w:type="dxa"/>
          <w:tcBorders/>
        </w:tcPr>
        <w:p>
          <w:pPr>
            <w:pStyle w:val="Normal1"/>
            <w:widowControl w:val="false"/>
            <w:rPr>
              <w:rFonts w:ascii="Arial" w:hAnsi="Arial" w:eastAsia="Arial" w:cs="Arial"/>
              <w:b/>
              <w:b/>
              <w:sz w:val="17"/>
              <w:szCs w:val="17"/>
            </w:rPr>
          </w:pPr>
          <w:r>
            <w:rPr>
              <w:rFonts w:eastAsia="Arial" w:cs="Arial" w:ascii="Arial" w:hAnsi="Arial"/>
              <w:b/>
              <w:sz w:val="17"/>
              <w:szCs w:val="17"/>
            </w:rPr>
            <w:t>Media Relations</w:t>
          </w:r>
        </w:p>
        <w:p>
          <w:pPr>
            <w:pStyle w:val="Normal1"/>
            <w:widowControl w:val="false"/>
            <w:rPr>
              <w:rFonts w:ascii="Arial" w:hAnsi="Arial" w:eastAsia="Arial" w:cs="Arial"/>
              <w:sz w:val="17"/>
              <w:szCs w:val="17"/>
            </w:rPr>
          </w:pPr>
          <w:r>
            <w:rPr>
              <w:rFonts w:eastAsia="Arial" w:cs="Arial" w:ascii="Arial" w:hAnsi="Arial"/>
              <w:sz w:val="17"/>
              <w:szCs w:val="17"/>
            </w:rPr>
            <w:t>Roberto Bergandi</w:t>
          </w:r>
        </w:p>
        <w:p>
          <w:pPr>
            <w:pStyle w:val="Normal1"/>
            <w:widowControl w:val="false"/>
            <w:rPr>
              <w:rFonts w:ascii="Arial" w:hAnsi="Arial" w:eastAsia="Arial" w:cs="Arial"/>
              <w:sz w:val="17"/>
              <w:szCs w:val="17"/>
            </w:rPr>
          </w:pPr>
          <w:r>
            <w:rPr>
              <w:rFonts w:eastAsia="Arial" w:cs="Arial" w:ascii="Arial" w:hAnsi="Arial"/>
              <w:sz w:val="17"/>
              <w:szCs w:val="17"/>
            </w:rPr>
            <w:t>Tel. + 39 011 5549911</w:t>
          </w:r>
        </w:p>
        <w:p>
          <w:pPr>
            <w:pStyle w:val="Normal1"/>
            <w:widowControl w:val="false"/>
            <w:rPr>
              <w:rFonts w:ascii="Arial" w:hAnsi="Arial" w:eastAsia="Arial" w:cs="Arial"/>
              <w:sz w:val="17"/>
              <w:szCs w:val="17"/>
            </w:rPr>
          </w:pPr>
          <w:r>
            <w:rPr>
              <w:rFonts w:eastAsia="Arial" w:cs="Arial" w:ascii="Arial" w:hAnsi="Arial"/>
              <w:sz w:val="17"/>
              <w:szCs w:val="17"/>
            </w:rPr>
            <w:t>Cell. +39 335 632 7398</w:t>
          </w:r>
        </w:p>
        <w:p>
          <w:pPr>
            <w:pStyle w:val="Normal1"/>
            <w:widowControl w:val="false"/>
            <w:rPr>
              <w:rFonts w:ascii="Arial" w:hAnsi="Arial" w:eastAsia="Arial" w:cs="Arial"/>
              <w:sz w:val="17"/>
              <w:szCs w:val="17"/>
            </w:rPr>
          </w:pPr>
          <w:r>
            <w:rPr>
              <w:rFonts w:eastAsia="Arial" w:cs="Arial" w:ascii="Arial" w:hAnsi="Arial"/>
              <w:sz w:val="17"/>
              <w:szCs w:val="17"/>
            </w:rPr>
            <w:t>roberto.bergandi@gruppoiren.it</w:t>
          </w:r>
        </w:p>
      </w:tc>
      <w:tc>
        <w:tcPr>
          <w:tcW w:w="1838" w:type="dxa"/>
          <w:tcBorders/>
        </w:tcPr>
        <w:p>
          <w:pPr>
            <w:pStyle w:val="Normal1"/>
            <w:widowControl w:val="false"/>
            <w:rPr>
              <w:rFonts w:ascii="Arial" w:hAnsi="Arial" w:eastAsia="Arial" w:cs="Arial"/>
              <w:b/>
              <w:b/>
              <w:sz w:val="17"/>
              <w:szCs w:val="17"/>
            </w:rPr>
          </w:pPr>
          <w:r>
            <w:rPr>
              <w:rFonts w:eastAsia="Arial" w:cs="Arial" w:ascii="Arial" w:hAnsi="Arial"/>
              <w:b/>
              <w:sz w:val="17"/>
              <w:szCs w:val="17"/>
            </w:rPr>
          </w:r>
        </w:p>
        <w:p>
          <w:pPr>
            <w:pStyle w:val="Normal1"/>
            <w:widowControl w:val="false"/>
            <w:rPr>
              <w:rFonts w:ascii="Arial" w:hAnsi="Arial" w:eastAsia="Arial" w:cs="Arial"/>
              <w:sz w:val="17"/>
              <w:szCs w:val="17"/>
            </w:rPr>
          </w:pPr>
          <w:r>
            <w:rPr>
              <w:rFonts w:eastAsia="Arial" w:cs="Arial" w:ascii="Arial" w:hAnsi="Arial"/>
              <w:sz w:val="17"/>
              <w:szCs w:val="17"/>
            </w:rPr>
          </w:r>
        </w:p>
      </w:tc>
      <w:tc>
        <w:tcPr>
          <w:tcW w:w="2210" w:type="dxa"/>
          <w:tcBorders/>
        </w:tcPr>
        <w:p>
          <w:pPr>
            <w:pStyle w:val="Normal1"/>
            <w:widowControl w:val="false"/>
            <w:ind w:right="-30" w:hanging="0"/>
            <w:rPr>
              <w:rFonts w:ascii="Arial" w:hAnsi="Arial" w:eastAsia="Arial" w:cs="Arial"/>
              <w:b/>
              <w:b/>
              <w:sz w:val="17"/>
              <w:szCs w:val="17"/>
            </w:rPr>
          </w:pPr>
          <w:r>
            <w:rPr>
              <w:rFonts w:eastAsia="Arial" w:cs="Arial" w:ascii="Arial" w:hAnsi="Arial"/>
              <w:b/>
              <w:sz w:val="17"/>
              <w:szCs w:val="17"/>
            </w:rPr>
          </w:r>
        </w:p>
      </w:tc>
      <w:tc>
        <w:tcPr>
          <w:tcW w:w="1892" w:type="dxa"/>
          <w:tcBorders/>
        </w:tcPr>
        <w:p>
          <w:pPr>
            <w:pStyle w:val="Normal1"/>
            <w:widowControl w:val="false"/>
            <w:ind w:right="-30" w:hanging="0"/>
            <w:rPr>
              <w:rFonts w:ascii="Arial" w:hAnsi="Arial" w:eastAsia="Arial" w:cs="Arial"/>
              <w:sz w:val="17"/>
              <w:szCs w:val="17"/>
            </w:rPr>
          </w:pPr>
          <w:r>
            <w:rPr>
              <w:rFonts w:eastAsia="Arial" w:cs="Arial" w:ascii="Arial" w:hAnsi="Arial"/>
              <w:sz w:val="17"/>
              <w:szCs w:val="17"/>
            </w:rPr>
          </w:r>
        </w:p>
        <w:p>
          <w:pPr>
            <w:pStyle w:val="Normal1"/>
            <w:widowControl w:val="false"/>
            <w:ind w:right="-30" w:hanging="0"/>
            <w:rPr>
              <w:rFonts w:ascii="Arial" w:hAnsi="Arial" w:eastAsia="Arial" w:cs="Arial"/>
              <w:sz w:val="17"/>
              <w:szCs w:val="17"/>
            </w:rPr>
          </w:pPr>
          <w:r>
            <w:rPr>
              <w:rFonts w:eastAsia="Arial" w:cs="Arial" w:ascii="Arial" w:hAnsi="Arial"/>
              <w:sz w:val="17"/>
              <w:szCs w:val="17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424940" cy="935355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93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                   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single"/>
        <w:shd w:fill="auto" w:val="clear"/>
        <w:vertAlign w:val="baseline"/>
      </w:rPr>
    </w:pPr>
    <w:r>
      <w:rPr/>
      <w:drawing>
        <wp:inline distT="0" distB="0" distL="0" distR="0">
          <wp:extent cx="1424940" cy="935355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93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                   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014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-215900</wp:posOffset>
          </wp:positionH>
          <wp:positionV relativeFrom="margin">
            <wp:posOffset>-1066800</wp:posOffset>
          </wp:positionV>
          <wp:extent cx="1416050" cy="920750"/>
          <wp:effectExtent l="0" t="0" r="0" b="0"/>
          <wp:wrapSquare wrapText="bothSides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/>
    <w:rPr>
      <w:b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3</Pages>
  <Words>733</Words>
  <Characters>4340</Characters>
  <CharactersWithSpaces>5263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